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DE" w:rsidRPr="00E659DE" w:rsidRDefault="00E659DE" w:rsidP="00E659DE">
      <w:pPr>
        <w:overflowPunct w:val="0"/>
        <w:jc w:val="center"/>
        <w:textAlignment w:val="baseline"/>
        <w:rPr>
          <w:rFonts w:asciiTheme="majorEastAsia" w:eastAsiaTheme="majorEastAsia" w:hAnsiTheme="majorEastAsia" w:cs="Times New Roman"/>
          <w:color w:val="000000"/>
          <w:spacing w:val="2"/>
          <w:kern w:val="0"/>
          <w:szCs w:val="24"/>
        </w:rPr>
      </w:pPr>
      <w:bookmarkStart w:id="0" w:name="_GoBack"/>
      <w:bookmarkEnd w:id="0"/>
      <w:r w:rsidRPr="00E659DE">
        <w:rPr>
          <w:rFonts w:asciiTheme="majorEastAsia" w:eastAsiaTheme="majorEastAsia" w:hAnsiTheme="majorEastAsia" w:cs="ＭＳ 明朝" w:hint="eastAsia"/>
          <w:color w:val="000000"/>
          <w:kern w:val="0"/>
          <w:sz w:val="21"/>
          <w:szCs w:val="21"/>
        </w:rPr>
        <w:t>反復したつきまとい等事案対応要領の制定について</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p>
    <w:p w:rsidR="00E659DE" w:rsidRPr="00E659DE" w:rsidRDefault="00E659DE" w:rsidP="00E659DE">
      <w:pPr>
        <w:overflowPunct w:val="0"/>
        <w:ind w:firstLine="5144"/>
        <w:jc w:val="right"/>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平成</w:t>
      </w:r>
      <w:r w:rsidRPr="00E659DE">
        <w:rPr>
          <w:rFonts w:asciiTheme="majorEastAsia" w:eastAsiaTheme="majorEastAsia" w:hAnsiTheme="majorEastAsia" w:cs="ＭＳ 明朝"/>
          <w:color w:val="000000"/>
          <w:kern w:val="0"/>
          <w:sz w:val="21"/>
          <w:szCs w:val="21"/>
        </w:rPr>
        <w:t>20</w:t>
      </w:r>
      <w:r w:rsidRPr="00E659DE">
        <w:rPr>
          <w:rFonts w:asciiTheme="majorEastAsia" w:eastAsiaTheme="majorEastAsia" w:hAnsiTheme="majorEastAsia" w:cs="ＭＳ 明朝" w:hint="eastAsia"/>
          <w:color w:val="000000"/>
          <w:kern w:val="0"/>
          <w:sz w:val="21"/>
          <w:szCs w:val="21"/>
        </w:rPr>
        <w:t>年</w:t>
      </w:r>
      <w:r w:rsidRPr="00E659DE">
        <w:rPr>
          <w:rFonts w:asciiTheme="majorEastAsia" w:eastAsiaTheme="majorEastAsia" w:hAnsiTheme="majorEastAsia" w:cs="ＭＳ 明朝"/>
          <w:color w:val="000000"/>
          <w:kern w:val="0"/>
          <w:sz w:val="21"/>
          <w:szCs w:val="21"/>
        </w:rPr>
        <w:t>12</w:t>
      </w:r>
      <w:r w:rsidRPr="00E659DE">
        <w:rPr>
          <w:rFonts w:asciiTheme="majorEastAsia" w:eastAsiaTheme="majorEastAsia" w:hAnsiTheme="majorEastAsia" w:cs="ＭＳ 明朝" w:hint="eastAsia"/>
          <w:color w:val="000000"/>
          <w:kern w:val="0"/>
          <w:sz w:val="21"/>
          <w:szCs w:val="21"/>
        </w:rPr>
        <w:t>月</w:t>
      </w:r>
      <w:r w:rsidRPr="00E659DE">
        <w:rPr>
          <w:rFonts w:asciiTheme="majorEastAsia" w:eastAsiaTheme="majorEastAsia" w:hAnsiTheme="majorEastAsia" w:cs="ＭＳ 明朝"/>
          <w:color w:val="000000"/>
          <w:kern w:val="0"/>
          <w:sz w:val="21"/>
          <w:szCs w:val="21"/>
        </w:rPr>
        <w:t>26</w:t>
      </w:r>
      <w:r w:rsidRPr="00E659DE">
        <w:rPr>
          <w:rFonts w:asciiTheme="majorEastAsia" w:eastAsiaTheme="majorEastAsia" w:hAnsiTheme="majorEastAsia" w:cs="ＭＳ 明朝" w:hint="eastAsia"/>
          <w:color w:val="000000"/>
          <w:kern w:val="0"/>
          <w:sz w:val="21"/>
          <w:szCs w:val="21"/>
        </w:rPr>
        <w:t>日例規</w:t>
      </w:r>
    </w:p>
    <w:p w:rsidR="00E659DE" w:rsidRPr="00E659DE" w:rsidRDefault="00E659DE" w:rsidP="00E659DE">
      <w:pPr>
        <w:overflowPunct w:val="0"/>
        <w:ind w:firstLine="5144"/>
        <w:jc w:val="right"/>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（生総・府民・地総・刑総）第</w:t>
      </w:r>
      <w:r w:rsidRPr="00E659DE">
        <w:rPr>
          <w:rFonts w:asciiTheme="majorEastAsia" w:eastAsiaTheme="majorEastAsia" w:hAnsiTheme="majorEastAsia" w:cs="ＭＳ 明朝"/>
          <w:color w:val="000000"/>
          <w:kern w:val="0"/>
          <w:sz w:val="21"/>
          <w:szCs w:val="21"/>
        </w:rPr>
        <w:t>132</w:t>
      </w:r>
      <w:r w:rsidRPr="00E659DE">
        <w:rPr>
          <w:rFonts w:asciiTheme="majorEastAsia" w:eastAsiaTheme="majorEastAsia" w:hAnsiTheme="majorEastAsia" w:cs="ＭＳ 明朝" w:hint="eastAsia"/>
          <w:color w:val="000000"/>
          <w:kern w:val="0"/>
          <w:sz w:val="21"/>
          <w:szCs w:val="21"/>
        </w:rPr>
        <w:t>号</w:t>
      </w:r>
    </w:p>
    <w:p w:rsidR="00E659DE" w:rsidRPr="00E659DE" w:rsidRDefault="00E659DE" w:rsidP="00E659DE">
      <w:pPr>
        <w:overflowPunct w:val="0"/>
        <w:ind w:firstLine="5144"/>
        <w:textAlignment w:val="baseline"/>
        <w:rPr>
          <w:rFonts w:asciiTheme="majorEastAsia" w:eastAsiaTheme="majorEastAsia" w:hAnsiTheme="majorEastAsia" w:cs="Times New Roman"/>
          <w:color w:val="000000"/>
          <w:spacing w:val="2"/>
          <w:kern w:val="0"/>
          <w:szCs w:val="24"/>
        </w:rPr>
      </w:pPr>
    </w:p>
    <w:p w:rsidR="00E659DE" w:rsidRPr="00E659DE" w:rsidRDefault="00E659DE" w:rsidP="00E659DE">
      <w:pPr>
        <w:overflowPunct w:val="0"/>
        <w:jc w:val="center"/>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（最近改正</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令和５年１月</w:t>
      </w:r>
      <w:r w:rsidRPr="00E659DE">
        <w:rPr>
          <w:rFonts w:asciiTheme="majorEastAsia" w:eastAsiaTheme="majorEastAsia" w:hAnsiTheme="majorEastAsia" w:cs="ＭＳ 明朝"/>
          <w:color w:val="000000"/>
          <w:kern w:val="0"/>
          <w:sz w:val="21"/>
          <w:szCs w:val="21"/>
        </w:rPr>
        <w:t>13</w:t>
      </w:r>
      <w:r w:rsidRPr="00E659DE">
        <w:rPr>
          <w:rFonts w:asciiTheme="majorEastAsia" w:eastAsiaTheme="majorEastAsia" w:hAnsiTheme="majorEastAsia" w:cs="ＭＳ 明朝" w:hint="eastAsia"/>
          <w:color w:val="000000"/>
          <w:kern w:val="0"/>
          <w:sz w:val="21"/>
          <w:szCs w:val="21"/>
        </w:rPr>
        <w:t>日例規（生総）第１号）</w:t>
      </w:r>
    </w:p>
    <w:p w:rsidR="00E659DE" w:rsidRPr="00E659DE" w:rsidRDefault="00E659DE" w:rsidP="00E659DE">
      <w:pPr>
        <w:overflowPunct w:val="0"/>
        <w:jc w:val="center"/>
        <w:textAlignment w:val="baseline"/>
        <w:rPr>
          <w:rFonts w:asciiTheme="majorEastAsia" w:eastAsiaTheme="majorEastAsia" w:hAnsiTheme="majorEastAsia" w:cs="Times New Roman"/>
          <w:color w:val="000000"/>
          <w:spacing w:val="2"/>
          <w:kern w:val="0"/>
          <w:szCs w:val="24"/>
        </w:rPr>
      </w:pP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 xml:space="preserve">　この度、別記のとおり反復したつきまとい等事案対応要領を制定し、平成</w:t>
      </w:r>
      <w:r w:rsidRPr="00E659DE">
        <w:rPr>
          <w:rFonts w:asciiTheme="majorEastAsia" w:eastAsiaTheme="majorEastAsia" w:hAnsiTheme="majorEastAsia" w:cs="ＭＳ 明朝"/>
          <w:color w:val="000000"/>
          <w:kern w:val="0"/>
          <w:sz w:val="21"/>
          <w:szCs w:val="21"/>
        </w:rPr>
        <w:t>21</w:t>
      </w:r>
      <w:r w:rsidRPr="00E659DE">
        <w:rPr>
          <w:rFonts w:asciiTheme="majorEastAsia" w:eastAsiaTheme="majorEastAsia" w:hAnsiTheme="majorEastAsia" w:cs="ＭＳ 明朝" w:hint="eastAsia"/>
          <w:color w:val="000000"/>
          <w:kern w:val="0"/>
          <w:sz w:val="21"/>
          <w:szCs w:val="21"/>
        </w:rPr>
        <w:t>年１月１日から実施することとしたので、適切な運用に努められたい。</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別</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記</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 xml:space="preserve">　　　反復したつきまとい等事案対応要領</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第１</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趣旨</w:t>
      </w:r>
    </w:p>
    <w:p w:rsidR="00E659DE" w:rsidRPr="00E659DE" w:rsidRDefault="00E659DE" w:rsidP="00E659DE">
      <w:pPr>
        <w:overflowPunct w:val="0"/>
        <w:ind w:left="122"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この要領は、大阪府公衆に著しく迷惑をかける暴力的不良行為等の防止に関する条例（昭和</w:t>
      </w:r>
      <w:r w:rsidRPr="00E659DE">
        <w:rPr>
          <w:rFonts w:asciiTheme="majorEastAsia" w:eastAsiaTheme="majorEastAsia" w:hAnsiTheme="majorEastAsia" w:cs="ＭＳ 明朝"/>
          <w:color w:val="000000"/>
          <w:kern w:val="0"/>
          <w:sz w:val="21"/>
          <w:szCs w:val="21"/>
        </w:rPr>
        <w:t>37</w:t>
      </w:r>
      <w:r w:rsidRPr="00E659DE">
        <w:rPr>
          <w:rFonts w:asciiTheme="majorEastAsia" w:eastAsiaTheme="majorEastAsia" w:hAnsiTheme="majorEastAsia" w:cs="ＭＳ 明朝" w:hint="eastAsia"/>
          <w:color w:val="000000"/>
          <w:kern w:val="0"/>
          <w:sz w:val="21"/>
          <w:szCs w:val="21"/>
        </w:rPr>
        <w:t>年条例第</w:t>
      </w:r>
      <w:r w:rsidRPr="00E659DE">
        <w:rPr>
          <w:rFonts w:asciiTheme="majorEastAsia" w:eastAsiaTheme="majorEastAsia" w:hAnsiTheme="majorEastAsia" w:cs="ＭＳ 明朝"/>
          <w:color w:val="000000"/>
          <w:kern w:val="0"/>
          <w:sz w:val="21"/>
          <w:szCs w:val="21"/>
        </w:rPr>
        <w:t>44</w:t>
      </w:r>
      <w:r w:rsidRPr="00E659DE">
        <w:rPr>
          <w:rFonts w:asciiTheme="majorEastAsia" w:eastAsiaTheme="majorEastAsia" w:hAnsiTheme="majorEastAsia" w:cs="ＭＳ 明朝" w:hint="eastAsia"/>
          <w:color w:val="000000"/>
          <w:kern w:val="0"/>
          <w:sz w:val="21"/>
          <w:szCs w:val="21"/>
        </w:rPr>
        <w:t>号。以下「条例」という。）及び大阪府公衆に著しく迷惑をかける暴力的不良行為等の防止に関する条例施行規則（平成</w:t>
      </w:r>
      <w:r w:rsidRPr="00E659DE">
        <w:rPr>
          <w:rFonts w:asciiTheme="majorEastAsia" w:eastAsiaTheme="majorEastAsia" w:hAnsiTheme="majorEastAsia" w:cs="ＭＳ 明朝"/>
          <w:color w:val="000000"/>
          <w:kern w:val="0"/>
          <w:sz w:val="21"/>
          <w:szCs w:val="21"/>
        </w:rPr>
        <w:t>17</w:t>
      </w:r>
      <w:r w:rsidRPr="00E659DE">
        <w:rPr>
          <w:rFonts w:asciiTheme="majorEastAsia" w:eastAsiaTheme="majorEastAsia" w:hAnsiTheme="majorEastAsia" w:cs="ＭＳ 明朝" w:hint="eastAsia"/>
          <w:color w:val="000000"/>
          <w:kern w:val="0"/>
          <w:sz w:val="21"/>
          <w:szCs w:val="21"/>
        </w:rPr>
        <w:t>年公委規則第</w:t>
      </w:r>
      <w:r w:rsidRPr="00E659DE">
        <w:rPr>
          <w:rFonts w:asciiTheme="majorEastAsia" w:eastAsiaTheme="majorEastAsia" w:hAnsiTheme="majorEastAsia" w:cs="ＭＳ 明朝"/>
          <w:color w:val="000000"/>
          <w:kern w:val="0"/>
          <w:sz w:val="21"/>
          <w:szCs w:val="21"/>
        </w:rPr>
        <w:t>15</w:t>
      </w:r>
      <w:r w:rsidRPr="00E659DE">
        <w:rPr>
          <w:rFonts w:asciiTheme="majorEastAsia" w:eastAsiaTheme="majorEastAsia" w:hAnsiTheme="majorEastAsia" w:cs="ＭＳ 明朝" w:hint="eastAsia"/>
          <w:color w:val="000000"/>
          <w:kern w:val="0"/>
          <w:sz w:val="21"/>
          <w:szCs w:val="21"/>
        </w:rPr>
        <w:t>号。以下「規則」という。）に基づき、反復したつきまとい等事案への対応に関し、必要な事項を定めるものとする。</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第２</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定義</w:t>
      </w:r>
    </w:p>
    <w:p w:rsidR="00E659DE" w:rsidRPr="00E659DE" w:rsidRDefault="00E659DE" w:rsidP="00E659DE">
      <w:pPr>
        <w:overflowPunct w:val="0"/>
        <w:ind w:firstLine="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この要領において、次に掲げる用語の意義は、それぞれに定めるところによる。</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 xml:space="preserve">(1)  </w:t>
      </w:r>
      <w:r w:rsidRPr="00E659DE">
        <w:rPr>
          <w:rFonts w:asciiTheme="majorEastAsia" w:eastAsiaTheme="majorEastAsia" w:hAnsiTheme="majorEastAsia" w:cs="ＭＳ 明朝" w:hint="eastAsia"/>
          <w:color w:val="000000"/>
          <w:kern w:val="0"/>
          <w:sz w:val="21"/>
          <w:szCs w:val="21"/>
        </w:rPr>
        <w:t>つきまとい等</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条例第</w:t>
      </w:r>
      <w:r w:rsidRPr="00E659DE">
        <w:rPr>
          <w:rFonts w:asciiTheme="majorEastAsia" w:eastAsiaTheme="majorEastAsia" w:hAnsiTheme="majorEastAsia" w:cs="ＭＳ 明朝"/>
          <w:color w:val="000000"/>
          <w:kern w:val="0"/>
          <w:sz w:val="21"/>
          <w:szCs w:val="21"/>
        </w:rPr>
        <w:t>10</w:t>
      </w:r>
      <w:r w:rsidRPr="00E659DE">
        <w:rPr>
          <w:rFonts w:asciiTheme="majorEastAsia" w:eastAsiaTheme="majorEastAsia" w:hAnsiTheme="majorEastAsia" w:cs="ＭＳ 明朝" w:hint="eastAsia"/>
          <w:color w:val="000000"/>
          <w:kern w:val="0"/>
          <w:sz w:val="21"/>
          <w:szCs w:val="21"/>
        </w:rPr>
        <w:t>条第１項第１号に規定するつきまとい等をいう。</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位置情報無承諾取得等　条例第</w:t>
      </w:r>
      <w:r w:rsidRPr="00E659DE">
        <w:rPr>
          <w:rFonts w:asciiTheme="majorEastAsia" w:eastAsiaTheme="majorEastAsia" w:hAnsiTheme="majorEastAsia" w:cs="ＭＳ 明朝"/>
          <w:color w:val="000000"/>
          <w:kern w:val="0"/>
          <w:sz w:val="21"/>
          <w:szCs w:val="21"/>
        </w:rPr>
        <w:t>10</w:t>
      </w:r>
      <w:r w:rsidRPr="00E659DE">
        <w:rPr>
          <w:rFonts w:asciiTheme="majorEastAsia" w:eastAsiaTheme="majorEastAsia" w:hAnsiTheme="majorEastAsia" w:cs="ＭＳ 明朝" w:hint="eastAsia"/>
          <w:color w:val="000000"/>
          <w:kern w:val="0"/>
          <w:sz w:val="21"/>
          <w:szCs w:val="21"/>
        </w:rPr>
        <w:t>条第１項第２号に規定する位置情報無承諾取得等をいう。</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反復したつきまとい等事案　条例第</w:t>
      </w:r>
      <w:r w:rsidRPr="00E659DE">
        <w:rPr>
          <w:rFonts w:asciiTheme="majorEastAsia" w:eastAsiaTheme="majorEastAsia" w:hAnsiTheme="majorEastAsia" w:cs="ＭＳ 明朝"/>
          <w:color w:val="000000"/>
          <w:kern w:val="0"/>
          <w:sz w:val="21"/>
          <w:szCs w:val="21"/>
        </w:rPr>
        <w:t>10</w:t>
      </w:r>
      <w:r w:rsidRPr="00E659DE">
        <w:rPr>
          <w:rFonts w:asciiTheme="majorEastAsia" w:eastAsiaTheme="majorEastAsia" w:hAnsiTheme="majorEastAsia" w:cs="ＭＳ 明朝" w:hint="eastAsia"/>
          <w:color w:val="000000"/>
          <w:kern w:val="0"/>
          <w:sz w:val="21"/>
          <w:szCs w:val="21"/>
        </w:rPr>
        <w:t>条第１項に違反する反復して行われるつきまとい等又は位置情報無承諾取得等の行為に係る事案をいう。</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第３</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対応体制</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１　調査責任者</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警察署に調査責任者を置く。</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調査責任者は、生活安全課長（生活安全刑事課長を含む</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。）をもって充てる。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調査責任者は、反復したつきまとい等事案についての調査の事務及び処理に関する事務（以下「調査等事務」という</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。）を統括管理する。</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２　調査担当者</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警察署に調査担当者を置く。</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調査担当者は、警察署長（以下「署長」という。）が生活安全課員（生活安全刑事課員を含む。以下同じ。）のうちから指名する者をもって充てる。</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調査担当者は、調査責任者の指揮を受け、調査等事務を行う。</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３</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事務処理の補助</w:t>
      </w:r>
    </w:p>
    <w:p w:rsidR="00E659DE" w:rsidRPr="00E659DE" w:rsidRDefault="00E659DE" w:rsidP="00E659DE">
      <w:pPr>
        <w:overflowPunct w:val="0"/>
        <w:ind w:firstLine="49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署長は、必要により、生活安全課員以外の者に調査等事務を補助させることができる。</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４</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対応警察署</w:t>
      </w:r>
    </w:p>
    <w:p w:rsidR="00E659DE" w:rsidRPr="00E659DE" w:rsidRDefault="00E659DE" w:rsidP="00E659DE">
      <w:pPr>
        <w:overflowPunct w:val="0"/>
        <w:ind w:left="244"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反復したつきまとい等事案に対応する警察署は、</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次に掲げる場合の区分に応じ、それぞれに定める警察署とする。ただし、特別の事情がある場合は、関係する警察署の署長と生活安全総務課長との協議により決定するものとする。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つきまとい等又は位置情報無承諾取得等により被害を受けた者（以下「被害者」という。）</w:t>
      </w:r>
      <w:r w:rsidRPr="00E659DE">
        <w:rPr>
          <w:rFonts w:asciiTheme="majorEastAsia" w:eastAsiaTheme="majorEastAsia" w:hAnsiTheme="majorEastAsia" w:cs="ＭＳ 明朝" w:hint="eastAsia"/>
          <w:color w:val="000000"/>
          <w:kern w:val="0"/>
          <w:sz w:val="21"/>
          <w:szCs w:val="21"/>
        </w:rPr>
        <w:lastRenderedPageBreak/>
        <w:t>が大阪府内に住所を有する場合　被害者の住所地を管轄する警察署</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被害者が大阪府外に住所を有する場合　大阪府内における被害者の勤務先、学校等が所在する場所を管轄する警察署</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５　体制の確立</w:t>
      </w:r>
    </w:p>
    <w:p w:rsidR="00E659DE" w:rsidRPr="00E659DE" w:rsidRDefault="00E659DE" w:rsidP="00E659DE">
      <w:pPr>
        <w:overflowPunct w:val="0"/>
        <w:ind w:left="368"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署長は、関係各課（係）における情報の共有化を徹底し、警察署を挙げて迅速かつ的確に対応することができる体制を確立するものとする。</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第４</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対応要領</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１　相談への対応</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警察職員は、大阪府警察広聴相談取扱規程（平成</w:t>
      </w:r>
      <w:r w:rsidRPr="00E659DE">
        <w:rPr>
          <w:rFonts w:asciiTheme="majorEastAsia" w:eastAsiaTheme="majorEastAsia" w:hAnsiTheme="majorEastAsia" w:cs="ＭＳ 明朝"/>
          <w:color w:val="000000"/>
          <w:kern w:val="0"/>
          <w:sz w:val="21"/>
          <w:szCs w:val="21"/>
        </w:rPr>
        <w:t>13</w:t>
      </w:r>
      <w:r w:rsidRPr="00E659DE">
        <w:rPr>
          <w:rFonts w:asciiTheme="majorEastAsia" w:eastAsiaTheme="majorEastAsia" w:hAnsiTheme="majorEastAsia" w:cs="ＭＳ 明朝" w:hint="eastAsia"/>
          <w:color w:val="000000"/>
          <w:kern w:val="0"/>
          <w:sz w:val="21"/>
          <w:szCs w:val="21"/>
        </w:rPr>
        <w:t>年訓令第</w:t>
      </w:r>
      <w:r w:rsidRPr="00E659DE">
        <w:rPr>
          <w:rFonts w:asciiTheme="majorEastAsia" w:eastAsiaTheme="majorEastAsia" w:hAnsiTheme="majorEastAsia" w:cs="ＭＳ 明朝"/>
          <w:color w:val="000000"/>
          <w:kern w:val="0"/>
          <w:sz w:val="21"/>
          <w:szCs w:val="21"/>
        </w:rPr>
        <w:t>21</w:t>
      </w:r>
      <w:r w:rsidRPr="00E659DE">
        <w:rPr>
          <w:rFonts w:asciiTheme="majorEastAsia" w:eastAsiaTheme="majorEastAsia" w:hAnsiTheme="majorEastAsia" w:cs="ＭＳ 明朝" w:hint="eastAsia"/>
          <w:color w:val="000000"/>
          <w:kern w:val="0"/>
          <w:sz w:val="21"/>
          <w:szCs w:val="21"/>
        </w:rPr>
        <w:t>号。以下「相談規程」という。）第</w:t>
      </w:r>
      <w:r w:rsidRPr="00E659DE">
        <w:rPr>
          <w:rFonts w:asciiTheme="majorEastAsia" w:eastAsiaTheme="majorEastAsia" w:hAnsiTheme="majorEastAsia" w:cs="ＭＳ 明朝"/>
          <w:color w:val="000000"/>
          <w:kern w:val="0"/>
          <w:sz w:val="21"/>
          <w:szCs w:val="21"/>
        </w:rPr>
        <w:t>11</w:t>
      </w:r>
      <w:r w:rsidRPr="00E659DE">
        <w:rPr>
          <w:rFonts w:asciiTheme="majorEastAsia" w:eastAsiaTheme="majorEastAsia" w:hAnsiTheme="majorEastAsia" w:cs="ＭＳ 明朝" w:hint="eastAsia"/>
          <w:color w:val="000000"/>
          <w:kern w:val="0"/>
          <w:sz w:val="21"/>
          <w:szCs w:val="21"/>
        </w:rPr>
        <w:t>条の規定によりつきまとい等又は位置情報無承諾取得等に関する相談を受理したときは、相談規程第</w:t>
      </w:r>
      <w:r w:rsidRPr="00E659DE">
        <w:rPr>
          <w:rFonts w:asciiTheme="majorEastAsia" w:eastAsiaTheme="majorEastAsia" w:hAnsiTheme="majorEastAsia" w:cs="ＭＳ 明朝"/>
          <w:color w:val="000000"/>
          <w:kern w:val="0"/>
          <w:sz w:val="21"/>
          <w:szCs w:val="21"/>
        </w:rPr>
        <w:t>12</w:t>
      </w:r>
      <w:r w:rsidRPr="00E659DE">
        <w:rPr>
          <w:rFonts w:asciiTheme="majorEastAsia" w:eastAsiaTheme="majorEastAsia" w:hAnsiTheme="majorEastAsia" w:cs="ＭＳ 明朝" w:hint="eastAsia"/>
          <w:color w:val="000000"/>
          <w:kern w:val="0"/>
          <w:sz w:val="21"/>
          <w:szCs w:val="21"/>
        </w:rPr>
        <w:t>条の規定により反復したつまとい等事案相談カード（相談規程別記様式第４号。以下「相談カード」という。）を作成し、警察本部の所属、警察学校、方面本部、組織犯罪対策本部又は犯罪抑止戦略本部において相談カードを作成した場合は相談規程第</w:t>
      </w:r>
      <w:r w:rsidRPr="00E659DE">
        <w:rPr>
          <w:rFonts w:asciiTheme="majorEastAsia" w:eastAsiaTheme="majorEastAsia" w:hAnsiTheme="majorEastAsia" w:cs="ＭＳ 明朝"/>
          <w:color w:val="000000"/>
          <w:kern w:val="0"/>
          <w:sz w:val="21"/>
          <w:szCs w:val="21"/>
        </w:rPr>
        <w:t>13</w:t>
      </w:r>
      <w:r w:rsidRPr="00E659DE">
        <w:rPr>
          <w:rFonts w:asciiTheme="majorEastAsia" w:eastAsiaTheme="majorEastAsia" w:hAnsiTheme="majorEastAsia" w:cs="ＭＳ 明朝" w:hint="eastAsia"/>
          <w:color w:val="000000"/>
          <w:kern w:val="0"/>
          <w:sz w:val="21"/>
          <w:szCs w:val="21"/>
        </w:rPr>
        <w:t>条第３号の規定により生活安全総務課に、警察署において相談カードを作成した場合は相談規程第</w:t>
      </w:r>
      <w:r w:rsidRPr="00E659DE">
        <w:rPr>
          <w:rFonts w:asciiTheme="majorEastAsia" w:eastAsiaTheme="majorEastAsia" w:hAnsiTheme="majorEastAsia" w:cs="ＭＳ 明朝"/>
          <w:color w:val="000000"/>
          <w:kern w:val="0"/>
          <w:sz w:val="21"/>
          <w:szCs w:val="21"/>
        </w:rPr>
        <w:t>13</w:t>
      </w:r>
      <w:r w:rsidRPr="00E659DE">
        <w:rPr>
          <w:rFonts w:asciiTheme="majorEastAsia" w:eastAsiaTheme="majorEastAsia" w:hAnsiTheme="majorEastAsia" w:cs="ＭＳ 明朝" w:hint="eastAsia"/>
          <w:color w:val="000000"/>
          <w:kern w:val="0"/>
          <w:sz w:val="21"/>
          <w:szCs w:val="21"/>
        </w:rPr>
        <w:t>条第４号及び第</w:t>
      </w:r>
      <w:r w:rsidRPr="00E659DE">
        <w:rPr>
          <w:rFonts w:asciiTheme="majorEastAsia" w:eastAsiaTheme="majorEastAsia" w:hAnsiTheme="majorEastAsia" w:cs="ＭＳ 明朝"/>
          <w:color w:val="000000"/>
          <w:kern w:val="0"/>
          <w:sz w:val="21"/>
          <w:szCs w:val="21"/>
        </w:rPr>
        <w:t>14</w:t>
      </w:r>
      <w:r w:rsidRPr="00E659DE">
        <w:rPr>
          <w:rFonts w:asciiTheme="majorEastAsia" w:eastAsiaTheme="majorEastAsia" w:hAnsiTheme="majorEastAsia" w:cs="ＭＳ 明朝" w:hint="eastAsia"/>
          <w:color w:val="000000"/>
          <w:kern w:val="0"/>
          <w:sz w:val="21"/>
          <w:szCs w:val="21"/>
        </w:rPr>
        <w:t>条の手続を行った上で生活安全課（生活安全刑事課を含む。以下同じ。）に、その都度、相談カードを引き継ぐものとする。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前記</w:t>
      </w: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により相談カードの引継ぎを受けたときは、次に掲げる所属の区分に応じ、それぞれに定める報告等を行うものとする。</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ア　生活安全総務課</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生活安全総務課員は、前記</w:t>
      </w: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により引継ぎを受けた相談カードに係る事案（以下「相談事案」という。）を反復したつきまとい等事案管理簿（別記様式第１号。以下「管理簿」という。）に必要事項を、反復したつきまとい等事案処理経過簿（別記様式第２号。以下「処理経過簿」という。）に以後の処理方針等を記載した上、生活安全総務課長に報告するものとする。</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イ　警察署</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調査責任者は、前記</w:t>
      </w: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により引継ぎを受けた相談事案について事実関係の正確な掌握に努めるとともに、当該相談事案を管理簿に必要事項を、処理経過簿に以後の処理方針等を記載した上、署長に報告するものとする。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生活安全総務課長は、前記</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のアにより報告を受けたときは、速やかに当該相談を行った者の住所の所在地を管轄する署長又は当該相談事案に対応すべき署長に相談カードの写しを送付するものとする。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(4)</w:t>
      </w:r>
      <w:r w:rsidRPr="00E659DE">
        <w:rPr>
          <w:rFonts w:asciiTheme="majorEastAsia" w:eastAsiaTheme="majorEastAsia" w:hAnsiTheme="majorEastAsia" w:cs="ＭＳ 明朝" w:hint="eastAsia"/>
          <w:color w:val="000000"/>
          <w:kern w:val="0"/>
          <w:sz w:val="21"/>
          <w:szCs w:val="21"/>
        </w:rPr>
        <w:t xml:space="preserve">　署長は、前記</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のイにより報告を受けた相談事案が他の警察署で対応すべきものである場合は、当該警察署の署長</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に相談カードの写しを送付するものとする。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 xml:space="preserve">(5) </w:t>
      </w:r>
      <w:r w:rsidRPr="00E659DE">
        <w:rPr>
          <w:rFonts w:asciiTheme="majorEastAsia" w:eastAsiaTheme="majorEastAsia" w:hAnsiTheme="majorEastAsia" w:cs="ＭＳ 明朝" w:hint="eastAsia"/>
          <w:color w:val="000000"/>
          <w:kern w:val="0"/>
          <w:sz w:val="21"/>
          <w:szCs w:val="21"/>
        </w:rPr>
        <w:t>前記</w:t>
      </w: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又は</w:t>
      </w:r>
      <w:r w:rsidRPr="00E659DE">
        <w:rPr>
          <w:rFonts w:asciiTheme="majorEastAsia" w:eastAsiaTheme="majorEastAsia" w:hAnsiTheme="majorEastAsia" w:cs="ＭＳ 明朝"/>
          <w:color w:val="000000"/>
          <w:kern w:val="0"/>
          <w:sz w:val="21"/>
          <w:szCs w:val="21"/>
        </w:rPr>
        <w:t>(4)</w:t>
      </w:r>
      <w:r w:rsidRPr="00E659DE">
        <w:rPr>
          <w:rFonts w:asciiTheme="majorEastAsia" w:eastAsiaTheme="majorEastAsia" w:hAnsiTheme="majorEastAsia" w:cs="ＭＳ 明朝" w:hint="eastAsia"/>
          <w:color w:val="000000"/>
          <w:kern w:val="0"/>
          <w:sz w:val="21"/>
          <w:szCs w:val="21"/>
        </w:rPr>
        <w:t>により相談カードの写しの送付を受けた署長は、改めて相談規程第</w:t>
      </w:r>
      <w:r w:rsidRPr="00E659DE">
        <w:rPr>
          <w:rFonts w:asciiTheme="majorEastAsia" w:eastAsiaTheme="majorEastAsia" w:hAnsiTheme="majorEastAsia" w:cs="ＭＳ 明朝"/>
          <w:color w:val="000000"/>
          <w:kern w:val="0"/>
          <w:sz w:val="21"/>
          <w:szCs w:val="21"/>
        </w:rPr>
        <w:t>12</w:t>
      </w:r>
      <w:r w:rsidRPr="00E659DE">
        <w:rPr>
          <w:rFonts w:asciiTheme="majorEastAsia" w:eastAsiaTheme="majorEastAsia" w:hAnsiTheme="majorEastAsia" w:cs="ＭＳ 明朝" w:hint="eastAsia"/>
          <w:color w:val="000000"/>
          <w:kern w:val="0"/>
          <w:sz w:val="21"/>
          <w:szCs w:val="21"/>
        </w:rPr>
        <w:t>条及び第</w:t>
      </w:r>
      <w:r w:rsidRPr="00E659DE">
        <w:rPr>
          <w:rFonts w:asciiTheme="majorEastAsia" w:eastAsiaTheme="majorEastAsia" w:hAnsiTheme="majorEastAsia" w:cs="ＭＳ 明朝"/>
          <w:color w:val="000000"/>
          <w:kern w:val="0"/>
          <w:sz w:val="21"/>
          <w:szCs w:val="21"/>
        </w:rPr>
        <w:t>13</w:t>
      </w:r>
      <w:r w:rsidRPr="00E659DE">
        <w:rPr>
          <w:rFonts w:asciiTheme="majorEastAsia" w:eastAsiaTheme="majorEastAsia" w:hAnsiTheme="majorEastAsia" w:cs="ＭＳ 明朝" w:hint="eastAsia"/>
          <w:color w:val="000000"/>
          <w:kern w:val="0"/>
          <w:sz w:val="21"/>
          <w:szCs w:val="21"/>
        </w:rPr>
        <w:t>条第４号に規定する手続並びに前記</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のイに規定する手続を調査責任者に行わせるものとする。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(6)</w:t>
      </w:r>
      <w:r w:rsidRPr="00E659DE">
        <w:rPr>
          <w:rFonts w:asciiTheme="majorEastAsia" w:eastAsiaTheme="majorEastAsia" w:hAnsiTheme="majorEastAsia" w:cs="ＭＳ 明朝" w:hint="eastAsia"/>
          <w:color w:val="000000"/>
          <w:kern w:val="0"/>
          <w:sz w:val="21"/>
          <w:szCs w:val="21"/>
        </w:rPr>
        <w:t xml:space="preserve">　署長は、前記</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のイにより報告を受けた場合は、調査責任者に必要な調査を行わせるものとする。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 xml:space="preserve">(7) </w:t>
      </w:r>
      <w:r w:rsidRPr="00E659DE">
        <w:rPr>
          <w:rFonts w:asciiTheme="majorEastAsia" w:eastAsiaTheme="majorEastAsia" w:hAnsiTheme="majorEastAsia" w:cs="ＭＳ 明朝" w:hint="eastAsia"/>
          <w:color w:val="000000"/>
          <w:kern w:val="0"/>
          <w:sz w:val="21"/>
          <w:szCs w:val="21"/>
        </w:rPr>
        <w:t>署長は、前記</w:t>
      </w:r>
      <w:r w:rsidRPr="00E659DE">
        <w:rPr>
          <w:rFonts w:asciiTheme="majorEastAsia" w:eastAsiaTheme="majorEastAsia" w:hAnsiTheme="majorEastAsia" w:cs="ＭＳ 明朝"/>
          <w:color w:val="000000"/>
          <w:kern w:val="0"/>
          <w:sz w:val="21"/>
          <w:szCs w:val="21"/>
        </w:rPr>
        <w:t>(6)</w:t>
      </w:r>
      <w:r w:rsidRPr="00E659DE">
        <w:rPr>
          <w:rFonts w:asciiTheme="majorEastAsia" w:eastAsiaTheme="majorEastAsia" w:hAnsiTheme="majorEastAsia" w:cs="ＭＳ 明朝" w:hint="eastAsia"/>
          <w:color w:val="000000"/>
          <w:kern w:val="0"/>
          <w:sz w:val="21"/>
          <w:szCs w:val="21"/>
        </w:rPr>
        <w:t>により調査した事実から相談事案が条例その他刑罰法令に抵触すると認められる場合は、被害者につきまとい等又は位置情報無承諾取得等を行った者（以下「行為者」という。）の処罰を求める意思を確認した上、適切に事件化して、行為者を検挙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(8)</w:t>
      </w:r>
      <w:r w:rsidRPr="00E659DE">
        <w:rPr>
          <w:rFonts w:asciiTheme="majorEastAsia" w:eastAsiaTheme="majorEastAsia" w:hAnsiTheme="majorEastAsia" w:cs="ＭＳ 明朝" w:hint="eastAsia"/>
          <w:color w:val="000000"/>
          <w:kern w:val="0"/>
          <w:sz w:val="21"/>
          <w:szCs w:val="21"/>
        </w:rPr>
        <w:t xml:space="preserve">　前記</w:t>
      </w:r>
      <w:r w:rsidRPr="00E659DE">
        <w:rPr>
          <w:rFonts w:asciiTheme="majorEastAsia" w:eastAsiaTheme="majorEastAsia" w:hAnsiTheme="majorEastAsia" w:cs="ＭＳ 明朝"/>
          <w:color w:val="000000"/>
          <w:kern w:val="0"/>
          <w:sz w:val="21"/>
          <w:szCs w:val="21"/>
        </w:rPr>
        <w:t>(7)</w:t>
      </w:r>
      <w:r w:rsidRPr="00E659DE">
        <w:rPr>
          <w:rFonts w:asciiTheme="majorEastAsia" w:eastAsiaTheme="majorEastAsia" w:hAnsiTheme="majorEastAsia" w:cs="ＭＳ 明朝" w:hint="eastAsia"/>
          <w:color w:val="000000"/>
          <w:kern w:val="0"/>
          <w:sz w:val="21"/>
          <w:szCs w:val="21"/>
        </w:rPr>
        <w:t>の場合において被害者が行為者の処罰を求めないとき又は前記</w:t>
      </w:r>
      <w:r w:rsidRPr="00E659DE">
        <w:rPr>
          <w:rFonts w:asciiTheme="majorEastAsia" w:eastAsiaTheme="majorEastAsia" w:hAnsiTheme="majorEastAsia" w:cs="ＭＳ 明朝"/>
          <w:color w:val="000000"/>
          <w:kern w:val="0"/>
          <w:sz w:val="21"/>
          <w:szCs w:val="21"/>
        </w:rPr>
        <w:t>(6)</w:t>
      </w:r>
      <w:r w:rsidRPr="00E659DE">
        <w:rPr>
          <w:rFonts w:asciiTheme="majorEastAsia" w:eastAsiaTheme="majorEastAsia" w:hAnsiTheme="majorEastAsia" w:cs="ＭＳ 明朝" w:hint="eastAsia"/>
          <w:color w:val="000000"/>
          <w:kern w:val="0"/>
          <w:sz w:val="21"/>
          <w:szCs w:val="21"/>
        </w:rPr>
        <w:t>により調査した事実から相談事案が条例その他刑罰法令に抵触しないと認められる場合は、被害者の意向を確認して、当該相談事案の内容に応じ、次に掲げる措置のうち適切な措置を執るものとする。この場合においては、被害者に対し警察が執り得る措置を十分に説明し、当該被害者の納得を得て行うよう努めるものとする。</w:t>
      </w:r>
    </w:p>
    <w:p w:rsidR="00E659DE" w:rsidRPr="00E659DE" w:rsidRDefault="00E659DE" w:rsidP="00E659DE">
      <w:pPr>
        <w:overflowPunct w:val="0"/>
        <w:ind w:firstLine="61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ア　被害者の意思を確認して、行為者に対する指導警告を行うこと。</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イ　被害者の生命、身体等に危害が及ぶおそれがあると認める場合は、被害者の意思を確認して、避難を希望する者についてはその支援を、避難を希望しない者についてはその者の周辺の重点警戒、防犯カメラの設置</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、防犯指導等を行うこと。この場合の警戒活動に際しては、パトロールカード等の配布により被害者に安心感を与えるよう配意すること。</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ウ　行為者について精神保健及び精神障害者福祉に関する法律（昭和</w:t>
      </w:r>
      <w:r w:rsidRPr="00E659DE">
        <w:rPr>
          <w:rFonts w:asciiTheme="majorEastAsia" w:eastAsiaTheme="majorEastAsia" w:hAnsiTheme="majorEastAsia" w:cs="ＭＳ 明朝"/>
          <w:color w:val="000000"/>
          <w:kern w:val="0"/>
          <w:sz w:val="21"/>
          <w:szCs w:val="21"/>
        </w:rPr>
        <w:t>25</w:t>
      </w:r>
      <w:r w:rsidRPr="00E659DE">
        <w:rPr>
          <w:rFonts w:asciiTheme="majorEastAsia" w:eastAsiaTheme="majorEastAsia" w:hAnsiTheme="majorEastAsia" w:cs="ＭＳ 明朝" w:hint="eastAsia"/>
          <w:color w:val="000000"/>
          <w:kern w:val="0"/>
          <w:sz w:val="21"/>
          <w:szCs w:val="21"/>
        </w:rPr>
        <w:t>年法律第</w:t>
      </w:r>
      <w:r w:rsidRPr="00E659DE">
        <w:rPr>
          <w:rFonts w:asciiTheme="majorEastAsia" w:eastAsiaTheme="majorEastAsia" w:hAnsiTheme="majorEastAsia" w:cs="ＭＳ 明朝"/>
          <w:color w:val="000000"/>
          <w:kern w:val="0"/>
          <w:sz w:val="21"/>
          <w:szCs w:val="21"/>
        </w:rPr>
        <w:t>123</w:t>
      </w:r>
      <w:r w:rsidRPr="00E659DE">
        <w:rPr>
          <w:rFonts w:asciiTheme="majorEastAsia" w:eastAsiaTheme="majorEastAsia" w:hAnsiTheme="majorEastAsia" w:cs="ＭＳ 明朝" w:hint="eastAsia"/>
          <w:color w:val="000000"/>
          <w:kern w:val="0"/>
          <w:sz w:val="21"/>
          <w:szCs w:val="21"/>
        </w:rPr>
        <w:t>号）第</w:t>
      </w:r>
      <w:r w:rsidRPr="00E659DE">
        <w:rPr>
          <w:rFonts w:asciiTheme="majorEastAsia" w:eastAsiaTheme="majorEastAsia" w:hAnsiTheme="majorEastAsia" w:cs="ＭＳ 明朝"/>
          <w:color w:val="000000"/>
          <w:kern w:val="0"/>
          <w:sz w:val="21"/>
          <w:szCs w:val="21"/>
        </w:rPr>
        <w:t>23</w:t>
      </w:r>
      <w:r w:rsidRPr="00E659DE">
        <w:rPr>
          <w:rFonts w:asciiTheme="majorEastAsia" w:eastAsiaTheme="majorEastAsia" w:hAnsiTheme="majorEastAsia" w:cs="ＭＳ 明朝" w:hint="eastAsia"/>
          <w:color w:val="000000"/>
          <w:kern w:val="0"/>
          <w:sz w:val="21"/>
          <w:szCs w:val="21"/>
        </w:rPr>
        <w:t>条の規定による通報を要すると認める場合は、当該通報を行うとともに、保健所その他の関係機関との連携を図り、適切に対応すること。</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エ　被害者が不安を訴える場合は、生活安全総務課員によるカウンセリング等を活用し、被害者に係る精神的被害の回復のための支援を行うこと。</w:t>
      </w:r>
    </w:p>
    <w:p w:rsidR="00E659DE" w:rsidRPr="00E659DE" w:rsidRDefault="00E659DE" w:rsidP="00E659DE">
      <w:pPr>
        <w:overflowPunct w:val="0"/>
        <w:ind w:left="858" w:hanging="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オ　他の警察署の管内において、被害者の勤務先又は実家に対する押し掛け等の行為の発生が予想される場合は、当該他の警察署に情報を提供し、必要な措置を依頼する等、その連携を強化すること。</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(9)</w:t>
      </w:r>
      <w:r w:rsidRPr="00E659DE">
        <w:rPr>
          <w:rFonts w:asciiTheme="majorEastAsia" w:eastAsiaTheme="majorEastAsia" w:hAnsiTheme="majorEastAsia" w:cs="ＭＳ 明朝" w:hint="eastAsia"/>
          <w:color w:val="000000"/>
          <w:kern w:val="0"/>
          <w:sz w:val="21"/>
          <w:szCs w:val="21"/>
        </w:rPr>
        <w:t xml:space="preserve">　行為者を検挙した場合及び前記</w:t>
      </w:r>
      <w:r w:rsidRPr="00E659DE">
        <w:rPr>
          <w:rFonts w:asciiTheme="majorEastAsia" w:eastAsiaTheme="majorEastAsia" w:hAnsiTheme="majorEastAsia" w:cs="ＭＳ 明朝"/>
          <w:color w:val="000000"/>
          <w:kern w:val="0"/>
          <w:sz w:val="21"/>
          <w:szCs w:val="21"/>
        </w:rPr>
        <w:t>(8)</w:t>
      </w:r>
      <w:r w:rsidRPr="00E659DE">
        <w:rPr>
          <w:rFonts w:asciiTheme="majorEastAsia" w:eastAsiaTheme="majorEastAsia" w:hAnsiTheme="majorEastAsia" w:cs="ＭＳ 明朝" w:hint="eastAsia"/>
          <w:color w:val="000000"/>
          <w:kern w:val="0"/>
          <w:sz w:val="21"/>
          <w:szCs w:val="21"/>
        </w:rPr>
        <w:t>に掲げる措置（同</w:t>
      </w:r>
      <w:r w:rsidRPr="00E659DE">
        <w:rPr>
          <w:rFonts w:asciiTheme="majorEastAsia" w:eastAsiaTheme="majorEastAsia" w:hAnsiTheme="majorEastAsia" w:cs="ＭＳ 明朝"/>
          <w:color w:val="000000"/>
          <w:kern w:val="0"/>
          <w:sz w:val="21"/>
          <w:szCs w:val="21"/>
        </w:rPr>
        <w:t>(8)</w:t>
      </w:r>
      <w:r w:rsidRPr="00E659DE">
        <w:rPr>
          <w:rFonts w:asciiTheme="majorEastAsia" w:eastAsiaTheme="majorEastAsia" w:hAnsiTheme="majorEastAsia" w:cs="ＭＳ 明朝" w:hint="eastAsia"/>
          <w:color w:val="000000"/>
          <w:kern w:val="0"/>
          <w:sz w:val="21"/>
          <w:szCs w:val="21"/>
        </w:rPr>
        <w:t>のエの措置を除く。）を執った場合は、被害者に対して速やかに連絡するものとする。</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２　被害者連絡等</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相談事案について前記１の対応を行った後においては、その対応を行った後の状況を把握するための被害者との緊密な連絡（以下「被害者連絡」という。）を実施し、その状況の変化に応じて検挙し、又は前記１の</w:t>
      </w:r>
      <w:r w:rsidRPr="00E659DE">
        <w:rPr>
          <w:rFonts w:asciiTheme="majorEastAsia" w:eastAsiaTheme="majorEastAsia" w:hAnsiTheme="majorEastAsia" w:cs="ＭＳ 明朝"/>
          <w:color w:val="000000"/>
          <w:kern w:val="0"/>
          <w:sz w:val="21"/>
          <w:szCs w:val="21"/>
        </w:rPr>
        <w:t>(8)</w:t>
      </w:r>
      <w:r w:rsidRPr="00E659DE">
        <w:rPr>
          <w:rFonts w:asciiTheme="majorEastAsia" w:eastAsiaTheme="majorEastAsia" w:hAnsiTheme="majorEastAsia" w:cs="ＭＳ 明朝" w:hint="eastAsia"/>
          <w:color w:val="000000"/>
          <w:kern w:val="0"/>
          <w:sz w:val="21"/>
          <w:szCs w:val="21"/>
        </w:rPr>
        <w:t>のアからオまでに掲げる措置のうち適切な措置を執るものとする。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被害者から被害者連絡を打ち切りたい旨の申出を受けた場合にあってはこれを打ち切るものとし、つきまとい等又は位置情報無承諾取得等が行われるおそれがないと認め、かつ、被害者の承諾を得た場合にあっては生活安全総務課長と協議した上でこれを打ち切ることができるものとする。この場合においては、管理簿に必要な事項を記載しておくものとする。</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３　援助措置</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署長は、被害者又はその保護者から条例第</w:t>
      </w:r>
      <w:r w:rsidRPr="00E659DE">
        <w:rPr>
          <w:rFonts w:asciiTheme="majorEastAsia" w:eastAsiaTheme="majorEastAsia" w:hAnsiTheme="majorEastAsia" w:cs="ＭＳ 明朝"/>
          <w:color w:val="000000"/>
          <w:kern w:val="0"/>
          <w:sz w:val="21"/>
          <w:szCs w:val="21"/>
        </w:rPr>
        <w:t>10</w:t>
      </w:r>
      <w:r w:rsidRPr="00E659DE">
        <w:rPr>
          <w:rFonts w:asciiTheme="majorEastAsia" w:eastAsiaTheme="majorEastAsia" w:hAnsiTheme="majorEastAsia" w:cs="ＭＳ 明朝" w:hint="eastAsia"/>
          <w:color w:val="000000"/>
          <w:kern w:val="0"/>
          <w:sz w:val="21"/>
          <w:szCs w:val="21"/>
        </w:rPr>
        <w:t>条第２項の規定による援助を受けたい旨の申出を受け、援助申出書（規則別記様式第３号）を受理したときは、反復したつきまとい等事案援助申出受理簿（別記様式第３号）に記載し、当該申出に係るつきまとい等又は位置情報無承諾取得等について、調査責任者等に調査を行わせ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署長は、前記</w:t>
      </w: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の調査の結果、援助の必要があると認める場合は、被害者又はその保護者に対して規則第８条各号の援助のうちから必要な援助を行うものとする。</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第５　処理経過簿への記録及び署長に対する報告</w:t>
      </w:r>
    </w:p>
    <w:p w:rsidR="00E659DE" w:rsidRPr="00E659DE" w:rsidRDefault="00E659DE" w:rsidP="00E659DE">
      <w:pPr>
        <w:overflowPunct w:val="0"/>
        <w:ind w:left="122"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調査責任者は、相談事案の内容を詳細に記録しておくため、次に掲げる場合については、その都度、処理経過簿にその内容を記載して署長に報告するものとする。</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行為者を検挙したとき。</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前記第４の１の</w:t>
      </w:r>
      <w:r w:rsidRPr="00E659DE">
        <w:rPr>
          <w:rFonts w:asciiTheme="majorEastAsia" w:eastAsiaTheme="majorEastAsia" w:hAnsiTheme="majorEastAsia" w:cs="ＭＳ 明朝"/>
          <w:color w:val="000000"/>
          <w:kern w:val="0"/>
          <w:sz w:val="21"/>
          <w:szCs w:val="21"/>
        </w:rPr>
        <w:t>(8)</w:t>
      </w:r>
      <w:r w:rsidRPr="00E659DE">
        <w:rPr>
          <w:rFonts w:asciiTheme="majorEastAsia" w:eastAsiaTheme="majorEastAsia" w:hAnsiTheme="majorEastAsia" w:cs="ＭＳ 明朝" w:hint="eastAsia"/>
          <w:color w:val="000000"/>
          <w:kern w:val="0"/>
          <w:sz w:val="21"/>
          <w:szCs w:val="21"/>
        </w:rPr>
        <w:t>のアからオまでに掲げる措置を執ったとき。</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被害者連絡を行ったとき。</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(4)</w:t>
      </w:r>
      <w:r w:rsidRPr="00E659DE">
        <w:rPr>
          <w:rFonts w:asciiTheme="majorEastAsia" w:eastAsiaTheme="majorEastAsia" w:hAnsiTheme="majorEastAsia" w:cs="ＭＳ 明朝" w:hint="eastAsia"/>
          <w:color w:val="000000"/>
          <w:kern w:val="0"/>
          <w:sz w:val="21"/>
          <w:szCs w:val="21"/>
        </w:rPr>
        <w:t xml:space="preserve">　被害者連絡を打ち切ったとき。</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(5)</w:t>
      </w:r>
      <w:r w:rsidRPr="00E659DE">
        <w:rPr>
          <w:rFonts w:asciiTheme="majorEastAsia" w:eastAsiaTheme="majorEastAsia" w:hAnsiTheme="majorEastAsia" w:cs="ＭＳ 明朝" w:hint="eastAsia"/>
          <w:color w:val="000000"/>
          <w:kern w:val="0"/>
          <w:sz w:val="21"/>
          <w:szCs w:val="21"/>
        </w:rPr>
        <w:t xml:space="preserve">　前記第４の３の</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の援助を行ったとき。</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(6)</w:t>
      </w:r>
      <w:r w:rsidRPr="00E659DE">
        <w:rPr>
          <w:rFonts w:asciiTheme="majorEastAsia" w:eastAsiaTheme="majorEastAsia" w:hAnsiTheme="majorEastAsia" w:cs="ＭＳ 明朝" w:hint="eastAsia"/>
          <w:color w:val="000000"/>
          <w:kern w:val="0"/>
          <w:sz w:val="21"/>
          <w:szCs w:val="21"/>
        </w:rPr>
        <w:t xml:space="preserve">　その他署長に報告すべき事項があったとき。</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第６</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被害者が住所を移転する場合における対応</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１　事前通報の依頼等</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被害者がその住所を移転しようとする場合においては、被害者に対し移転先住所を警察に口頭等により届出をするよう依頼しておくものとする。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被害者から住所を移転する旨の口頭等による届出を受理したときは、処理経過簿に記載するものとする。</w:t>
      </w:r>
    </w:p>
    <w:p w:rsidR="00E659DE" w:rsidRPr="00E659DE" w:rsidRDefault="00E659DE" w:rsidP="00E659DE">
      <w:pPr>
        <w:overflowPunct w:val="0"/>
        <w:ind w:firstLine="122"/>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２　移転後の事務処理</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前記１の</w:t>
      </w: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により住所を移転する旨の口頭等による届出を受理したとき又は被害者が住居を移転することを認知したときは、速やかに生活安全総務課長に電話により連絡するものとする。この場合において、その移転先が大阪府内であるときは、当該移転先を管轄する警察署（以下「移転先管轄警察署」という。）の署長に相談カード、処理経過簿その他の関係書類の写しを送付するものとする。なお、前記第４の１の</w:t>
      </w:r>
      <w:r w:rsidRPr="00E659DE">
        <w:rPr>
          <w:rFonts w:asciiTheme="majorEastAsia" w:eastAsiaTheme="majorEastAsia" w:hAnsiTheme="majorEastAsia" w:cs="ＭＳ 明朝"/>
          <w:color w:val="000000"/>
          <w:kern w:val="0"/>
          <w:sz w:val="21"/>
          <w:szCs w:val="21"/>
        </w:rPr>
        <w:t>(7)</w:t>
      </w:r>
      <w:r w:rsidRPr="00E659DE">
        <w:rPr>
          <w:rFonts w:asciiTheme="majorEastAsia" w:eastAsiaTheme="majorEastAsia" w:hAnsiTheme="majorEastAsia" w:cs="ＭＳ 明朝" w:hint="eastAsia"/>
          <w:color w:val="000000"/>
          <w:kern w:val="0"/>
          <w:sz w:val="21"/>
          <w:szCs w:val="21"/>
        </w:rPr>
        <w:t>により事件化に着手等している場合は、生活安全総務課長と協議するものとする。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前記</w:t>
      </w: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により関係書類の送付を受けた移転先管轄警察署の署長は、当該関係書類に係る事案を管理簿に記載した上、被害者連絡を行う等、その対応を引き継ぐものとする。</w:t>
      </w:r>
    </w:p>
    <w:p w:rsidR="00E659DE" w:rsidRPr="00E659DE" w:rsidRDefault="00E659DE" w:rsidP="00E659DE">
      <w:pPr>
        <w:overflowPunct w:val="0"/>
        <w:ind w:left="612" w:hanging="368"/>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住所の移転等により、つきまとい等又は位置情報無承諾取得等が行われた場所が大阪府外になった場合は、被害者の意向を確認し、当該場所を管轄する警察署の相談窓口を教示する等の措置を執るものとする。</w:t>
      </w:r>
    </w:p>
    <w:p w:rsidR="00E659DE" w:rsidRPr="00E659DE" w:rsidRDefault="00E659DE" w:rsidP="00E659DE">
      <w:pPr>
        <w:overflowPunct w:val="0"/>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第７</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報告</w:t>
      </w:r>
    </w:p>
    <w:p w:rsidR="00E659DE" w:rsidRPr="00E659DE" w:rsidRDefault="00E659DE" w:rsidP="00E659DE">
      <w:pPr>
        <w:overflowPunct w:val="0"/>
        <w:ind w:left="122"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hint="eastAsia"/>
          <w:color w:val="000000"/>
          <w:kern w:val="0"/>
          <w:sz w:val="21"/>
          <w:szCs w:val="21"/>
        </w:rPr>
        <w:t>署長は、次に掲げる場合は、その都度、速やかに生活安全部長（生活安全総務課）宛てに報告するものとする。この場合における報告は、大阪府警察ストーカー・配偶者からの暴力等事案情報管理業務実施要領（平成</w:t>
      </w:r>
      <w:r w:rsidRPr="00E659DE">
        <w:rPr>
          <w:rFonts w:asciiTheme="majorEastAsia" w:eastAsiaTheme="majorEastAsia" w:hAnsiTheme="majorEastAsia" w:cs="ＭＳ 明朝"/>
          <w:color w:val="000000"/>
          <w:kern w:val="0"/>
          <w:sz w:val="21"/>
          <w:szCs w:val="21"/>
        </w:rPr>
        <w:t>27</w:t>
      </w:r>
      <w:r w:rsidRPr="00E659DE">
        <w:rPr>
          <w:rFonts w:asciiTheme="majorEastAsia" w:eastAsiaTheme="majorEastAsia" w:hAnsiTheme="majorEastAsia" w:cs="ＭＳ 明朝" w:hint="eastAsia"/>
          <w:color w:val="000000"/>
          <w:kern w:val="0"/>
          <w:sz w:val="21"/>
          <w:szCs w:val="21"/>
        </w:rPr>
        <w:t>年３月</w:t>
      </w:r>
      <w:r w:rsidRPr="00E659DE">
        <w:rPr>
          <w:rFonts w:asciiTheme="majorEastAsia" w:eastAsiaTheme="majorEastAsia" w:hAnsiTheme="majorEastAsia" w:cs="ＭＳ 明朝"/>
          <w:color w:val="000000"/>
          <w:kern w:val="0"/>
          <w:sz w:val="21"/>
          <w:szCs w:val="21"/>
        </w:rPr>
        <w:t>27</w:t>
      </w:r>
      <w:r w:rsidRPr="00E659DE">
        <w:rPr>
          <w:rFonts w:asciiTheme="majorEastAsia" w:eastAsiaTheme="majorEastAsia" w:hAnsiTheme="majorEastAsia" w:cs="ＭＳ 明朝" w:hint="eastAsia"/>
          <w:color w:val="000000"/>
          <w:kern w:val="0"/>
          <w:sz w:val="21"/>
          <w:szCs w:val="21"/>
        </w:rPr>
        <w:t>日例規（生総）</w:t>
      </w:r>
      <w:r w:rsidRPr="00E659DE">
        <w:rPr>
          <w:rFonts w:asciiTheme="majorEastAsia" w:eastAsiaTheme="majorEastAsia" w:hAnsiTheme="majorEastAsia" w:cs="ＭＳ 明朝"/>
          <w:color w:val="000000"/>
          <w:kern w:val="0"/>
          <w:sz w:val="21"/>
          <w:szCs w:val="21"/>
        </w:rPr>
        <w:t xml:space="preserve"> </w:t>
      </w:r>
      <w:r w:rsidRPr="00E659DE">
        <w:rPr>
          <w:rFonts w:asciiTheme="majorEastAsia" w:eastAsiaTheme="majorEastAsia" w:hAnsiTheme="majorEastAsia" w:cs="ＭＳ 明朝" w:hint="eastAsia"/>
          <w:color w:val="000000"/>
          <w:kern w:val="0"/>
          <w:sz w:val="21"/>
          <w:szCs w:val="21"/>
        </w:rPr>
        <w:t>第</w:t>
      </w:r>
      <w:r w:rsidRPr="00E659DE">
        <w:rPr>
          <w:rFonts w:asciiTheme="majorEastAsia" w:eastAsiaTheme="majorEastAsia" w:hAnsiTheme="majorEastAsia" w:cs="ＭＳ 明朝"/>
          <w:color w:val="000000"/>
          <w:kern w:val="0"/>
          <w:sz w:val="21"/>
          <w:szCs w:val="21"/>
        </w:rPr>
        <w:t>36</w:t>
      </w:r>
      <w:r w:rsidRPr="00E659DE">
        <w:rPr>
          <w:rFonts w:asciiTheme="majorEastAsia" w:eastAsiaTheme="majorEastAsia" w:hAnsiTheme="majorEastAsia" w:cs="ＭＳ 明朝" w:hint="eastAsia"/>
          <w:color w:val="000000"/>
          <w:kern w:val="0"/>
          <w:sz w:val="21"/>
          <w:szCs w:val="21"/>
        </w:rPr>
        <w:t>号）第７に規定する登録により行うほか、必要に応じて関係書類を送付することにより行うものとする。</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(1)</w:t>
      </w:r>
      <w:r w:rsidRPr="00E659DE">
        <w:rPr>
          <w:rFonts w:asciiTheme="majorEastAsia" w:eastAsiaTheme="majorEastAsia" w:hAnsiTheme="majorEastAsia" w:cs="ＭＳ 明朝" w:hint="eastAsia"/>
          <w:color w:val="000000"/>
          <w:kern w:val="0"/>
          <w:sz w:val="21"/>
          <w:szCs w:val="21"/>
        </w:rPr>
        <w:t xml:space="preserve">　反復したつきまとい等事案を認知した場合</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(2)</w:t>
      </w:r>
      <w:r w:rsidRPr="00E659DE">
        <w:rPr>
          <w:rFonts w:asciiTheme="majorEastAsia" w:eastAsiaTheme="majorEastAsia" w:hAnsiTheme="majorEastAsia" w:cs="ＭＳ 明朝" w:hint="eastAsia"/>
          <w:color w:val="000000"/>
          <w:kern w:val="0"/>
          <w:sz w:val="21"/>
          <w:szCs w:val="21"/>
        </w:rPr>
        <w:t xml:space="preserve">　条例その他刑罰法令に違反した行為者を検挙した場合</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(3)</w:t>
      </w:r>
      <w:r w:rsidRPr="00E659DE">
        <w:rPr>
          <w:rFonts w:asciiTheme="majorEastAsia" w:eastAsiaTheme="majorEastAsia" w:hAnsiTheme="majorEastAsia" w:cs="ＭＳ 明朝" w:hint="eastAsia"/>
          <w:color w:val="000000"/>
          <w:kern w:val="0"/>
          <w:sz w:val="21"/>
          <w:szCs w:val="21"/>
        </w:rPr>
        <w:t xml:space="preserve">　被害者連絡を打ち切った場合</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(4)</w:t>
      </w:r>
      <w:r w:rsidRPr="00E659DE">
        <w:rPr>
          <w:rFonts w:asciiTheme="majorEastAsia" w:eastAsiaTheme="majorEastAsia" w:hAnsiTheme="majorEastAsia" w:cs="ＭＳ 明朝" w:hint="eastAsia"/>
          <w:color w:val="000000"/>
          <w:kern w:val="0"/>
          <w:sz w:val="21"/>
          <w:szCs w:val="21"/>
        </w:rPr>
        <w:t xml:space="preserve">　被害者又はその保護者からの申出に基づく援助を実施した場合</w:t>
      </w:r>
    </w:p>
    <w:p w:rsidR="00E659DE" w:rsidRPr="00E659DE" w:rsidRDefault="00E659DE" w:rsidP="00E659DE">
      <w:pPr>
        <w:overflowPunct w:val="0"/>
        <w:ind w:firstLine="244"/>
        <w:textAlignment w:val="baseline"/>
        <w:rPr>
          <w:rFonts w:asciiTheme="majorEastAsia" w:eastAsiaTheme="majorEastAsia" w:hAnsiTheme="majorEastAsia" w:cs="Times New Roman"/>
          <w:color w:val="000000"/>
          <w:spacing w:val="2"/>
          <w:kern w:val="0"/>
          <w:szCs w:val="24"/>
        </w:rPr>
      </w:pPr>
      <w:r w:rsidRPr="00E659DE">
        <w:rPr>
          <w:rFonts w:asciiTheme="majorEastAsia" w:eastAsiaTheme="majorEastAsia" w:hAnsiTheme="majorEastAsia" w:cs="ＭＳ 明朝"/>
          <w:color w:val="000000"/>
          <w:kern w:val="0"/>
          <w:sz w:val="21"/>
          <w:szCs w:val="21"/>
        </w:rPr>
        <w:t>(5)</w:t>
      </w:r>
      <w:r w:rsidRPr="00E659DE">
        <w:rPr>
          <w:rFonts w:asciiTheme="majorEastAsia" w:eastAsiaTheme="majorEastAsia" w:hAnsiTheme="majorEastAsia" w:cs="ＭＳ 明朝" w:hint="eastAsia"/>
          <w:color w:val="000000"/>
          <w:kern w:val="0"/>
          <w:sz w:val="21"/>
          <w:szCs w:val="21"/>
        </w:rPr>
        <w:t xml:space="preserve">　その他報告すべき事項があった場合</w:t>
      </w:r>
    </w:p>
    <w:p w:rsidR="00D41882" w:rsidRPr="00E659DE" w:rsidRDefault="00D41882">
      <w:pPr>
        <w:rPr>
          <w:rFonts w:asciiTheme="majorEastAsia" w:eastAsiaTheme="majorEastAsia" w:hAnsiTheme="majorEastAsia"/>
        </w:rPr>
      </w:pPr>
    </w:p>
    <w:sectPr w:rsidR="00D41882" w:rsidRPr="00E659DE" w:rsidSect="00E659DE">
      <w:pgSz w:w="11906" w:h="16838"/>
      <w:pgMar w:top="1700" w:right="1168" w:bottom="1700" w:left="1168"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50" w:rsidRDefault="00866150" w:rsidP="00866150">
      <w:r>
        <w:separator/>
      </w:r>
    </w:p>
  </w:endnote>
  <w:endnote w:type="continuationSeparator" w:id="0">
    <w:p w:rsidR="00866150" w:rsidRDefault="00866150" w:rsidP="0086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50" w:rsidRDefault="00866150" w:rsidP="00866150">
      <w:r>
        <w:separator/>
      </w:r>
    </w:p>
  </w:footnote>
  <w:footnote w:type="continuationSeparator" w:id="0">
    <w:p w:rsidR="00866150" w:rsidRDefault="00866150" w:rsidP="0086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9DE"/>
    <w:rsid w:val="001B2611"/>
    <w:rsid w:val="00866150"/>
    <w:rsid w:val="00D41882"/>
    <w:rsid w:val="00E6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150"/>
    <w:pPr>
      <w:tabs>
        <w:tab w:val="center" w:pos="4252"/>
        <w:tab w:val="right" w:pos="8504"/>
      </w:tabs>
      <w:snapToGrid w:val="0"/>
    </w:pPr>
  </w:style>
  <w:style w:type="character" w:customStyle="1" w:styleId="a4">
    <w:name w:val="ヘッダー (文字)"/>
    <w:basedOn w:val="a0"/>
    <w:link w:val="a3"/>
    <w:uiPriority w:val="99"/>
    <w:rsid w:val="00866150"/>
  </w:style>
  <w:style w:type="paragraph" w:styleId="a5">
    <w:name w:val="footer"/>
    <w:basedOn w:val="a"/>
    <w:link w:val="a6"/>
    <w:uiPriority w:val="99"/>
    <w:unhideWhenUsed/>
    <w:rsid w:val="00866150"/>
    <w:pPr>
      <w:tabs>
        <w:tab w:val="center" w:pos="4252"/>
        <w:tab w:val="right" w:pos="8504"/>
      </w:tabs>
      <w:snapToGrid w:val="0"/>
    </w:pPr>
  </w:style>
  <w:style w:type="character" w:customStyle="1" w:styleId="a6">
    <w:name w:val="フッター (文字)"/>
    <w:basedOn w:val="a0"/>
    <w:link w:val="a5"/>
    <w:uiPriority w:val="99"/>
    <w:rsid w:val="0086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4416</Words>
  <Characters>4569</Characters>
  <Application>Microsoft Office Word</Application>
  <DocSecurity>4</DocSecurity>
  <Lines>152</Lines>
  <Paragraphs>78</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2023-03-14T04:10:00Z</dcterms:created>
  <dcterms:modified xsi:type="dcterms:W3CDTF">2023-03-14T04:10:00Z</dcterms:modified>
</cp:coreProperties>
</file>